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617B" w14:textId="77777777" w:rsidR="00ED4462" w:rsidRDefault="00ED4462" w:rsidP="00ED4462">
      <w:pPr>
        <w:adjustRightInd w:val="0"/>
        <w:snapToGrid w:val="0"/>
        <w:spacing w:line="380" w:lineRule="exact"/>
        <w:jc w:val="center"/>
        <w:rPr>
          <w:rFonts w:ascii="宋体" w:hAnsi="宋体"/>
          <w:b/>
          <w:sz w:val="32"/>
          <w:szCs w:val="32"/>
        </w:rPr>
      </w:pPr>
      <w:r>
        <w:rPr>
          <w:rFonts w:ascii="宋体" w:hAnsi="宋体"/>
          <w:b/>
          <w:sz w:val="32"/>
          <w:szCs w:val="32"/>
        </w:rPr>
        <w:t>债权申报须知</w:t>
      </w:r>
    </w:p>
    <w:p w14:paraId="676B9ED9" w14:textId="77777777" w:rsidR="00ED4462" w:rsidRDefault="00ED4462" w:rsidP="00ED4462">
      <w:pPr>
        <w:adjustRightInd w:val="0"/>
        <w:snapToGrid w:val="0"/>
        <w:spacing w:line="380" w:lineRule="exact"/>
        <w:ind w:firstLineChars="200" w:firstLine="480"/>
        <w:rPr>
          <w:rFonts w:ascii="宋体" w:hAnsi="宋体"/>
          <w:sz w:val="24"/>
        </w:rPr>
      </w:pPr>
    </w:p>
    <w:p w14:paraId="26B9CBB7"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sz w:val="24"/>
        </w:rPr>
        <w:t>依据《中华人民共和国企业破产法》（以下简称《企业破产法》）及相关法律、法规和司法解释的规定，就债权人在申报债权时的相关注意事项说明如下：</w:t>
      </w:r>
    </w:p>
    <w:p w14:paraId="40C90000" w14:textId="77777777" w:rsidR="00ED4462" w:rsidRDefault="00ED4462" w:rsidP="00ED4462">
      <w:pPr>
        <w:adjustRightInd w:val="0"/>
        <w:snapToGrid w:val="0"/>
        <w:spacing w:line="380" w:lineRule="exact"/>
        <w:ind w:firstLineChars="196" w:firstLine="472"/>
        <w:rPr>
          <w:rFonts w:ascii="宋体" w:hAnsi="宋体"/>
          <w:b/>
          <w:sz w:val="24"/>
        </w:rPr>
      </w:pPr>
      <w:r>
        <w:rPr>
          <w:rFonts w:ascii="宋体" w:hAnsi="宋体" w:hint="eastAsia"/>
          <w:b/>
          <w:sz w:val="24"/>
        </w:rPr>
        <w:t>一、债权申报方式</w:t>
      </w:r>
    </w:p>
    <w:p w14:paraId="7A11D5A4"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1、债权人应</w:t>
      </w:r>
      <w:proofErr w:type="gramStart"/>
      <w:r>
        <w:rPr>
          <w:rFonts w:ascii="宋体" w:hAnsi="宋体" w:hint="eastAsia"/>
          <w:sz w:val="24"/>
        </w:rPr>
        <w:t>通过微信小</w:t>
      </w:r>
      <w:proofErr w:type="gramEnd"/>
      <w:r>
        <w:rPr>
          <w:rFonts w:ascii="宋体" w:hAnsi="宋体" w:hint="eastAsia"/>
          <w:sz w:val="24"/>
        </w:rPr>
        <w:t>程序“破产清算系统”下载、填写债权申报材料并向管理人申报债权，将全部债权申报资料按平台确定的办法上传提交管理人审核。</w:t>
      </w:r>
    </w:p>
    <w:p w14:paraId="193DE606" w14:textId="458EAA51" w:rsidR="00ED4462" w:rsidRDefault="00ED4462" w:rsidP="00ED4462">
      <w:pPr>
        <w:adjustRightInd w:val="0"/>
        <w:snapToGrid w:val="0"/>
        <w:spacing w:line="380" w:lineRule="exact"/>
        <w:ind w:firstLineChars="200" w:firstLine="480"/>
        <w:rPr>
          <w:rFonts w:ascii="宋体" w:hAnsi="宋体"/>
          <w:b/>
          <w:sz w:val="24"/>
        </w:rPr>
      </w:pPr>
      <w:r>
        <w:rPr>
          <w:rFonts w:ascii="宋体" w:hAnsi="宋体" w:hint="eastAsia"/>
          <w:sz w:val="24"/>
        </w:rPr>
        <w:t>2、债权人通过前述平台向管理人申报债权并提交申报债权资料的具体办法详见《手机</w:t>
      </w:r>
      <w:r>
        <w:rPr>
          <w:rFonts w:ascii="宋体" w:hAnsi="宋体"/>
          <w:sz w:val="24"/>
        </w:rPr>
        <w:t>客户端网上债权申报使用指引</w:t>
      </w:r>
      <w:r>
        <w:rPr>
          <w:rFonts w:ascii="宋体" w:hAnsi="宋体" w:hint="eastAsia"/>
          <w:sz w:val="24"/>
        </w:rPr>
        <w:t>》。如申报过程中有系统报错或其他技术问题，可按指引联系平台服务人员；与系统报错或技术问题无关的债权申报其他事项可咨询管理人，</w:t>
      </w:r>
      <w:r>
        <w:rPr>
          <w:rFonts w:ascii="宋体" w:hAnsi="宋体" w:hint="eastAsia"/>
          <w:b/>
          <w:sz w:val="24"/>
        </w:rPr>
        <w:t>管理</w:t>
      </w:r>
      <w:proofErr w:type="gramStart"/>
      <w:r>
        <w:rPr>
          <w:rFonts w:ascii="宋体" w:hAnsi="宋体" w:hint="eastAsia"/>
          <w:b/>
          <w:sz w:val="24"/>
        </w:rPr>
        <w:t>人咨询</w:t>
      </w:r>
      <w:proofErr w:type="gramEnd"/>
      <w:r>
        <w:rPr>
          <w:rFonts w:ascii="宋体" w:hAnsi="宋体" w:hint="eastAsia"/>
          <w:b/>
          <w:sz w:val="24"/>
        </w:rPr>
        <w:t>电话：</w:t>
      </w:r>
      <w:r w:rsidRPr="00ED4462">
        <w:rPr>
          <w:rFonts w:ascii="宋体" w:hAnsi="宋体"/>
          <w:b/>
          <w:bCs/>
          <w:sz w:val="24"/>
        </w:rPr>
        <w:t>1825801289</w:t>
      </w:r>
      <w:r w:rsidR="00D9063A">
        <w:rPr>
          <w:rFonts w:ascii="宋体" w:hAnsi="宋体"/>
          <w:b/>
          <w:bCs/>
          <w:sz w:val="24"/>
        </w:rPr>
        <w:t>3</w:t>
      </w:r>
      <w:r>
        <w:rPr>
          <w:rFonts w:ascii="宋体" w:hAnsi="宋体" w:hint="eastAsia"/>
          <w:b/>
          <w:sz w:val="24"/>
        </w:rPr>
        <w:t>。</w:t>
      </w:r>
    </w:p>
    <w:p w14:paraId="76AE27F4" w14:textId="676668CC"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3、除</w:t>
      </w:r>
      <w:proofErr w:type="gramStart"/>
      <w:r>
        <w:rPr>
          <w:rFonts w:ascii="宋体" w:hAnsi="宋体" w:hint="eastAsia"/>
          <w:sz w:val="24"/>
        </w:rPr>
        <w:t>通过微信小</w:t>
      </w:r>
      <w:proofErr w:type="gramEnd"/>
      <w:r>
        <w:rPr>
          <w:rFonts w:ascii="宋体" w:hAnsi="宋体" w:hint="eastAsia"/>
          <w:sz w:val="24"/>
        </w:rPr>
        <w:t>程序“破产清算系统”申报债权外，债权人还应通过现场或邮寄方式将前述债权申报资料一式</w:t>
      </w:r>
      <w:r w:rsidR="00D9063A">
        <w:rPr>
          <w:rFonts w:ascii="宋体" w:hAnsi="宋体" w:hint="eastAsia"/>
          <w:sz w:val="24"/>
        </w:rPr>
        <w:t>两</w:t>
      </w:r>
      <w:r>
        <w:rPr>
          <w:rFonts w:ascii="宋体" w:hAnsi="宋体" w:hint="eastAsia"/>
          <w:sz w:val="24"/>
        </w:rPr>
        <w:t>份提交给管理人。</w:t>
      </w:r>
    </w:p>
    <w:p w14:paraId="123FA930" w14:textId="77777777" w:rsidR="00ED4462" w:rsidRDefault="00ED4462" w:rsidP="00ED4462">
      <w:pPr>
        <w:adjustRightInd w:val="0"/>
        <w:snapToGrid w:val="0"/>
        <w:spacing w:line="380" w:lineRule="exact"/>
        <w:ind w:firstLineChars="200" w:firstLine="482"/>
        <w:rPr>
          <w:rFonts w:ascii="宋体" w:hAnsi="宋体"/>
          <w:b/>
          <w:sz w:val="24"/>
        </w:rPr>
      </w:pPr>
    </w:p>
    <w:p w14:paraId="2F4A5F7E" w14:textId="77777777" w:rsidR="00ED4462" w:rsidRDefault="00ED4462" w:rsidP="00ED4462">
      <w:pPr>
        <w:adjustRightInd w:val="0"/>
        <w:snapToGrid w:val="0"/>
        <w:spacing w:line="380" w:lineRule="exact"/>
        <w:ind w:firstLineChars="200" w:firstLine="482"/>
        <w:rPr>
          <w:rFonts w:ascii="宋体" w:hAnsi="宋体"/>
          <w:b/>
          <w:sz w:val="24"/>
        </w:rPr>
      </w:pPr>
      <w:r>
        <w:rPr>
          <w:rFonts w:ascii="宋体" w:hAnsi="宋体" w:hint="eastAsia"/>
          <w:b/>
          <w:sz w:val="24"/>
        </w:rPr>
        <w:t>二</w:t>
      </w:r>
      <w:r>
        <w:rPr>
          <w:rFonts w:ascii="宋体" w:hAnsi="宋体"/>
          <w:b/>
          <w:sz w:val="24"/>
        </w:rPr>
        <w:t>、债权申报材料</w:t>
      </w:r>
    </w:p>
    <w:p w14:paraId="533E426F" w14:textId="4971DF89" w:rsidR="00ED4462" w:rsidRDefault="00ED4462" w:rsidP="00ED4462">
      <w:pPr>
        <w:pStyle w:val="Default"/>
        <w:snapToGrid w:val="0"/>
        <w:spacing w:line="400" w:lineRule="exact"/>
        <w:ind w:firstLineChars="200" w:firstLine="480"/>
        <w:jc w:val="both"/>
        <w:rPr>
          <w:rFonts w:ascii="宋体" w:hAnsi="宋体"/>
        </w:rPr>
      </w:pPr>
      <w:r>
        <w:rPr>
          <w:kern w:val="2"/>
        </w:rPr>
        <w:t>1</w:t>
      </w:r>
      <w:r>
        <w:rPr>
          <w:kern w:val="2"/>
        </w:rPr>
        <w:t>、申报人申报债权</w:t>
      </w:r>
      <w:r>
        <w:rPr>
          <w:rFonts w:hint="eastAsia"/>
          <w:kern w:val="2"/>
        </w:rPr>
        <w:t>时</w:t>
      </w:r>
      <w:r>
        <w:rPr>
          <w:kern w:val="2"/>
        </w:rPr>
        <w:t>应</w:t>
      </w:r>
      <w:r>
        <w:rPr>
          <w:rFonts w:hint="eastAsia"/>
          <w:kern w:val="2"/>
        </w:rPr>
        <w:t>下载、填写并在确认后向债权申报平台上传</w:t>
      </w:r>
      <w:r>
        <w:rPr>
          <w:b/>
          <w:kern w:val="2"/>
          <w:u w:val="single"/>
        </w:rPr>
        <w:t>《债权申报表》</w:t>
      </w:r>
      <w:r>
        <w:rPr>
          <w:rFonts w:hint="eastAsia"/>
          <w:b/>
          <w:kern w:val="2"/>
          <w:u w:val="single"/>
        </w:rPr>
        <w:t>、《债权申报材料清单》、《债权人地址、联系方式及银行账户确认书</w:t>
      </w:r>
      <w:r>
        <w:rPr>
          <w:rFonts w:hint="eastAsia"/>
          <w:b/>
          <w:u w:val="single"/>
        </w:rPr>
        <w:t>》</w:t>
      </w:r>
      <w:r>
        <w:rPr>
          <w:rFonts w:ascii="宋体" w:hAnsi="宋体"/>
        </w:rPr>
        <w:t>。</w:t>
      </w:r>
      <w:r>
        <w:rPr>
          <w:rFonts w:ascii="宋体" w:hAnsi="宋体" w:hint="eastAsia"/>
        </w:rPr>
        <w:t>前述材料不能反映申报情况有关情况的，</w:t>
      </w:r>
      <w:r>
        <w:rPr>
          <w:rFonts w:ascii="宋体" w:hAnsi="宋体"/>
        </w:rPr>
        <w:t>债权人可另行附页向管理人提交申报内容的具体说明。</w:t>
      </w:r>
    </w:p>
    <w:p w14:paraId="1687781D" w14:textId="29097D6E" w:rsidR="00ED4462" w:rsidRDefault="00ED4462" w:rsidP="00ED4462">
      <w:pPr>
        <w:adjustRightInd w:val="0"/>
        <w:snapToGrid w:val="0"/>
        <w:spacing w:line="380" w:lineRule="exact"/>
        <w:ind w:firstLineChars="200" w:firstLine="480"/>
        <w:rPr>
          <w:rFonts w:ascii="宋体" w:hAnsi="宋体"/>
          <w:sz w:val="24"/>
        </w:rPr>
      </w:pPr>
      <w:r>
        <w:rPr>
          <w:rFonts w:ascii="宋体" w:hAnsi="宋体"/>
          <w:sz w:val="24"/>
        </w:rPr>
        <w:t>2、</w:t>
      </w:r>
      <w:r>
        <w:rPr>
          <w:rFonts w:ascii="宋体" w:hAnsi="宋体" w:hint="eastAsia"/>
          <w:sz w:val="24"/>
        </w:rPr>
        <w:t>申报人申报债权时应向债权申报平台提供并上传申报人主体资格及委托代理人的相关材料。其中，</w:t>
      </w:r>
      <w:r>
        <w:rPr>
          <w:rFonts w:ascii="宋体" w:hAnsi="宋体"/>
          <w:sz w:val="24"/>
        </w:rPr>
        <w:t>申报人为企业法人的，应提供已年检的</w:t>
      </w:r>
      <w:r>
        <w:rPr>
          <w:rFonts w:ascii="宋体" w:hAnsi="宋体"/>
          <w:b/>
          <w:sz w:val="24"/>
          <w:u w:val="single"/>
        </w:rPr>
        <w:t>营业执照复印件（加盖公章）、组织机构代码证复印件（加盖公章）（五证合一的不需要）、法定代表人</w:t>
      </w:r>
      <w:r>
        <w:rPr>
          <w:rFonts w:ascii="宋体" w:hAnsi="宋体" w:hint="eastAsia"/>
          <w:b/>
          <w:sz w:val="24"/>
          <w:u w:val="single"/>
        </w:rPr>
        <w:t>/负责人</w:t>
      </w:r>
      <w:r>
        <w:rPr>
          <w:rFonts w:ascii="宋体" w:hAnsi="宋体"/>
          <w:b/>
          <w:sz w:val="24"/>
          <w:u w:val="single"/>
        </w:rPr>
        <w:t>身份证明书（原件）、法定代表人</w:t>
      </w:r>
      <w:r>
        <w:rPr>
          <w:rFonts w:ascii="宋体" w:hAnsi="宋体" w:hint="eastAsia"/>
          <w:b/>
          <w:sz w:val="24"/>
          <w:u w:val="single"/>
        </w:rPr>
        <w:t>/负责人</w:t>
      </w:r>
      <w:r>
        <w:rPr>
          <w:rFonts w:ascii="宋体" w:hAnsi="宋体"/>
          <w:b/>
          <w:sz w:val="24"/>
          <w:u w:val="single"/>
        </w:rPr>
        <w:t>身份证复印件（签名并盖章确认）</w:t>
      </w:r>
      <w:r>
        <w:rPr>
          <w:rFonts w:ascii="宋体" w:hAnsi="宋体"/>
          <w:sz w:val="24"/>
        </w:rPr>
        <w:t>。申报人为自然人的，应提供</w:t>
      </w:r>
      <w:r>
        <w:rPr>
          <w:rFonts w:ascii="宋体" w:hAnsi="宋体"/>
          <w:b/>
          <w:sz w:val="24"/>
          <w:u w:val="single"/>
        </w:rPr>
        <w:t>个人身份证复印件并签字确认</w:t>
      </w:r>
      <w:r>
        <w:rPr>
          <w:rFonts w:ascii="宋体" w:hAnsi="宋体"/>
          <w:sz w:val="24"/>
        </w:rPr>
        <w:t>。委托代理人申报的，需提交</w:t>
      </w:r>
      <w:r>
        <w:rPr>
          <w:rFonts w:ascii="宋体" w:hAnsi="宋体"/>
          <w:b/>
          <w:sz w:val="24"/>
          <w:u w:val="single"/>
        </w:rPr>
        <w:t>代理人授权委托书（原件）、代理人及委托人身份证复印件（复印件签字确认）</w:t>
      </w:r>
      <w:r>
        <w:rPr>
          <w:rFonts w:ascii="宋体" w:hAnsi="宋体"/>
          <w:sz w:val="24"/>
        </w:rPr>
        <w:t>。委托代理人是律师的，还应提交</w:t>
      </w:r>
      <w:r>
        <w:rPr>
          <w:rFonts w:ascii="宋体" w:hAnsi="宋体"/>
          <w:b/>
          <w:sz w:val="24"/>
          <w:u w:val="single"/>
        </w:rPr>
        <w:t>律师事务所的</w:t>
      </w:r>
      <w:r w:rsidR="00D9063A">
        <w:rPr>
          <w:rFonts w:ascii="宋体" w:hAnsi="宋体" w:hint="eastAsia"/>
          <w:b/>
          <w:sz w:val="24"/>
          <w:u w:val="single"/>
        </w:rPr>
        <w:t>公函</w:t>
      </w:r>
      <w:r>
        <w:rPr>
          <w:rFonts w:ascii="宋体" w:hAnsi="宋体"/>
          <w:b/>
          <w:sz w:val="24"/>
          <w:u w:val="single"/>
        </w:rPr>
        <w:t>及律师执业证复印件</w:t>
      </w:r>
      <w:r>
        <w:rPr>
          <w:rFonts w:ascii="宋体" w:hAnsi="宋体"/>
          <w:sz w:val="24"/>
        </w:rPr>
        <w:t>。</w:t>
      </w:r>
    </w:p>
    <w:p w14:paraId="6617B791" w14:textId="274A53D7" w:rsidR="00ED4462" w:rsidRDefault="00ED4462" w:rsidP="00ED4462">
      <w:pPr>
        <w:adjustRightInd w:val="0"/>
        <w:snapToGrid w:val="0"/>
        <w:spacing w:line="380" w:lineRule="exact"/>
        <w:ind w:firstLineChars="200" w:firstLine="480"/>
        <w:rPr>
          <w:rFonts w:ascii="宋体" w:hAnsi="宋体"/>
          <w:sz w:val="24"/>
        </w:rPr>
      </w:pPr>
      <w:r>
        <w:rPr>
          <w:rFonts w:ascii="宋体" w:hAnsi="宋体"/>
          <w:sz w:val="24"/>
        </w:rPr>
        <w:t>3、</w:t>
      </w:r>
      <w:r>
        <w:rPr>
          <w:rFonts w:ascii="宋体" w:hAnsi="宋体" w:hint="eastAsia"/>
          <w:sz w:val="24"/>
        </w:rPr>
        <w:t>申报人申报债权</w:t>
      </w:r>
      <w:r w:rsidR="00BB242D">
        <w:rPr>
          <w:rFonts w:ascii="宋体" w:hAnsi="宋体" w:hint="eastAsia"/>
          <w:sz w:val="24"/>
        </w:rPr>
        <w:t>时</w:t>
      </w:r>
      <w:r>
        <w:rPr>
          <w:rFonts w:ascii="宋体" w:hAnsi="宋体" w:hint="eastAsia"/>
          <w:sz w:val="24"/>
        </w:rPr>
        <w:t>应向债权申报平台提供并上</w:t>
      </w:r>
      <w:proofErr w:type="gramStart"/>
      <w:r>
        <w:rPr>
          <w:rFonts w:ascii="宋体" w:hAnsi="宋体" w:hint="eastAsia"/>
          <w:sz w:val="24"/>
        </w:rPr>
        <w:t>传</w:t>
      </w:r>
      <w:r>
        <w:rPr>
          <w:rFonts w:ascii="宋体" w:hAnsi="宋体"/>
          <w:sz w:val="24"/>
        </w:rPr>
        <w:t>证明</w:t>
      </w:r>
      <w:proofErr w:type="gramEnd"/>
      <w:r>
        <w:rPr>
          <w:rFonts w:ascii="宋体" w:hAnsi="宋体"/>
          <w:sz w:val="24"/>
        </w:rPr>
        <w:t>债权事实的相关证据材料。证据材料包括但不限于：合同或协议、履行合同的证据、付款凭证、银行凭证、对账单、收货单、收据或发票、往来函件、权利登记证明文件、追收债权证明等；相关权利已经得到生效裁判文书或仲裁裁决书确认的，还应提交相关法律文书（判决生效证明、法院执行情况证明）；申报人申报的债权还有其他债务人的，应当说明其他债务人的履行情况。</w:t>
      </w:r>
    </w:p>
    <w:p w14:paraId="36EA1702"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sz w:val="24"/>
        </w:rPr>
        <w:t>4、</w:t>
      </w:r>
      <w:r>
        <w:rPr>
          <w:rFonts w:ascii="宋体" w:hAnsi="宋体" w:hint="eastAsia"/>
          <w:sz w:val="24"/>
        </w:rPr>
        <w:t>管理人有权对申报人提供并上传的前述材料按需核对</w:t>
      </w:r>
      <w:r>
        <w:rPr>
          <w:rFonts w:ascii="宋体" w:hAnsi="宋体"/>
          <w:sz w:val="24"/>
        </w:rPr>
        <w:t>原件</w:t>
      </w:r>
      <w:r>
        <w:rPr>
          <w:rFonts w:ascii="宋体" w:hAnsi="宋体" w:hint="eastAsia"/>
          <w:sz w:val="24"/>
        </w:rPr>
        <w:t>，债权人应予配合提供</w:t>
      </w:r>
      <w:r>
        <w:rPr>
          <w:rFonts w:ascii="宋体" w:hAnsi="宋体"/>
          <w:sz w:val="24"/>
        </w:rPr>
        <w:t>。申报人如提交伪造、变造等虚假证据及相关材料，以及对重要事实虚假陈述或拒绝陈述的，将承担相应的法律责任，如构成犯罪的，将移交司法机关进行处</w:t>
      </w:r>
      <w:r>
        <w:rPr>
          <w:rFonts w:ascii="宋体" w:hAnsi="宋体"/>
          <w:sz w:val="24"/>
        </w:rPr>
        <w:lastRenderedPageBreak/>
        <w:t>理。</w:t>
      </w:r>
    </w:p>
    <w:p w14:paraId="4D817FB1" w14:textId="77777777" w:rsidR="00ED4462" w:rsidRDefault="00ED4462" w:rsidP="00ED4462">
      <w:pPr>
        <w:adjustRightInd w:val="0"/>
        <w:snapToGrid w:val="0"/>
        <w:spacing w:line="380" w:lineRule="exact"/>
        <w:ind w:firstLineChars="200" w:firstLine="480"/>
        <w:rPr>
          <w:rFonts w:ascii="宋体" w:hAnsi="宋体"/>
          <w:sz w:val="24"/>
        </w:rPr>
      </w:pPr>
    </w:p>
    <w:p w14:paraId="7C0C8C94" w14:textId="77777777" w:rsidR="00ED4462" w:rsidRDefault="00ED4462" w:rsidP="00ED4462">
      <w:pPr>
        <w:adjustRightInd w:val="0"/>
        <w:snapToGrid w:val="0"/>
        <w:spacing w:line="380" w:lineRule="exact"/>
        <w:ind w:firstLineChars="200" w:firstLine="482"/>
        <w:rPr>
          <w:rFonts w:ascii="宋体" w:hAnsi="宋体"/>
          <w:b/>
          <w:sz w:val="24"/>
        </w:rPr>
      </w:pPr>
      <w:r>
        <w:rPr>
          <w:rFonts w:ascii="宋体" w:hAnsi="宋体" w:hint="eastAsia"/>
          <w:b/>
          <w:sz w:val="24"/>
        </w:rPr>
        <w:t>三</w:t>
      </w:r>
      <w:r>
        <w:rPr>
          <w:rFonts w:ascii="宋体" w:hAnsi="宋体"/>
          <w:b/>
          <w:sz w:val="24"/>
        </w:rPr>
        <w:t>、债权申报时间和地址</w:t>
      </w:r>
    </w:p>
    <w:p w14:paraId="0879FD75" w14:textId="455AC0FC"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1、债权申报期限至</w:t>
      </w:r>
      <w:r w:rsidRPr="007936D5">
        <w:rPr>
          <w:rFonts w:ascii="宋体" w:hAnsi="宋体" w:hint="eastAsia"/>
          <w:sz w:val="24"/>
        </w:rPr>
        <w:t>202</w:t>
      </w:r>
      <w:r w:rsidRPr="007936D5">
        <w:rPr>
          <w:rFonts w:ascii="宋体" w:hAnsi="宋体"/>
          <w:sz w:val="24"/>
        </w:rPr>
        <w:t>2</w:t>
      </w:r>
      <w:r w:rsidRPr="00ED4462">
        <w:rPr>
          <w:rFonts w:ascii="宋体" w:hAnsi="宋体" w:hint="eastAsia"/>
          <w:sz w:val="24"/>
        </w:rPr>
        <w:t>年</w:t>
      </w:r>
      <w:r w:rsidRPr="00ED4462">
        <w:rPr>
          <w:rFonts w:ascii="宋体" w:hAnsi="宋体"/>
          <w:sz w:val="24"/>
        </w:rPr>
        <w:t>5</w:t>
      </w:r>
      <w:r w:rsidRPr="00ED4462">
        <w:rPr>
          <w:rFonts w:ascii="宋体" w:hAnsi="宋体" w:hint="eastAsia"/>
          <w:sz w:val="24"/>
        </w:rPr>
        <w:t>月3</w:t>
      </w:r>
      <w:r w:rsidRPr="00ED4462">
        <w:rPr>
          <w:rFonts w:ascii="宋体" w:hAnsi="宋体"/>
          <w:sz w:val="24"/>
        </w:rPr>
        <w:t>1</w:t>
      </w:r>
      <w:r>
        <w:rPr>
          <w:rFonts w:ascii="宋体" w:hAnsi="宋体"/>
          <w:sz w:val="24"/>
        </w:rPr>
        <w:t>日止</w:t>
      </w:r>
      <w:r>
        <w:rPr>
          <w:rFonts w:ascii="宋体" w:hAnsi="宋体" w:hint="eastAsia"/>
          <w:sz w:val="24"/>
        </w:rPr>
        <w:t>，</w:t>
      </w:r>
      <w:r>
        <w:rPr>
          <w:rFonts w:ascii="宋体" w:hAnsi="宋体"/>
          <w:sz w:val="24"/>
        </w:rPr>
        <w:t>申报时间</w:t>
      </w:r>
      <w:r>
        <w:rPr>
          <w:rFonts w:ascii="宋体" w:hAnsi="宋体" w:hint="eastAsia"/>
          <w:sz w:val="24"/>
        </w:rPr>
        <w:t>：</w:t>
      </w:r>
      <w:r>
        <w:rPr>
          <w:rFonts w:ascii="宋体" w:hAnsi="宋体"/>
          <w:sz w:val="24"/>
        </w:rPr>
        <w:t>工作日上午</w:t>
      </w:r>
      <w:r>
        <w:rPr>
          <w:rFonts w:ascii="宋体" w:hAnsi="宋体" w:hint="eastAsia"/>
          <w:sz w:val="24"/>
        </w:rPr>
        <w:t>9：00到11:30，下午14:00至1</w:t>
      </w:r>
      <w:r w:rsidR="00096CA6">
        <w:rPr>
          <w:rFonts w:ascii="宋体" w:hAnsi="宋体"/>
          <w:sz w:val="24"/>
        </w:rPr>
        <w:t>7</w:t>
      </w:r>
      <w:r>
        <w:rPr>
          <w:rFonts w:ascii="宋体" w:hAnsi="宋体" w:hint="eastAsia"/>
          <w:sz w:val="24"/>
        </w:rPr>
        <w:t>:00（法定节假日、休息日除外）。</w:t>
      </w:r>
    </w:p>
    <w:p w14:paraId="4AFD365D" w14:textId="391A8555"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2、债权人现场及邮寄提交债权登记材料的地址均为</w:t>
      </w:r>
      <w:r w:rsidRPr="00ED4462">
        <w:rPr>
          <w:rFonts w:ascii="宋体" w:hAnsi="宋体" w:hint="eastAsia"/>
          <w:sz w:val="24"/>
        </w:rPr>
        <w:t>浙江省东阳市广福东路23号东阳总部中心D幢东区502（预重整办公室），邮政编码：322100，联系人：丁天甲律师（13757558522）、戚璐莎律师（18258012893）。</w:t>
      </w:r>
    </w:p>
    <w:p w14:paraId="6F1B64D9" w14:textId="77777777" w:rsidR="00ED4462" w:rsidRDefault="00ED4462" w:rsidP="00ED4462">
      <w:pPr>
        <w:adjustRightInd w:val="0"/>
        <w:snapToGrid w:val="0"/>
        <w:spacing w:line="380" w:lineRule="exact"/>
        <w:ind w:firstLineChars="200" w:firstLine="480"/>
        <w:rPr>
          <w:rFonts w:ascii="宋体" w:hAnsi="宋体"/>
          <w:sz w:val="24"/>
        </w:rPr>
      </w:pPr>
    </w:p>
    <w:p w14:paraId="08F8DB96" w14:textId="77777777" w:rsidR="00ED4462" w:rsidRDefault="00ED4462" w:rsidP="00ED4462">
      <w:pPr>
        <w:adjustRightInd w:val="0"/>
        <w:snapToGrid w:val="0"/>
        <w:spacing w:line="380" w:lineRule="exact"/>
        <w:ind w:firstLineChars="200" w:firstLine="482"/>
        <w:rPr>
          <w:rFonts w:ascii="宋体" w:hAnsi="宋体"/>
          <w:b/>
          <w:sz w:val="24"/>
        </w:rPr>
      </w:pPr>
      <w:r>
        <w:rPr>
          <w:rFonts w:ascii="宋体" w:hAnsi="宋体" w:hint="eastAsia"/>
          <w:b/>
          <w:sz w:val="24"/>
        </w:rPr>
        <w:t>四</w:t>
      </w:r>
      <w:r>
        <w:rPr>
          <w:rFonts w:ascii="宋体" w:hAnsi="宋体"/>
          <w:b/>
          <w:sz w:val="24"/>
        </w:rPr>
        <w:t>、其他注意事项</w:t>
      </w:r>
    </w:p>
    <w:p w14:paraId="4E0CBB9E"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sz w:val="24"/>
        </w:rPr>
        <w:t>1</w:t>
      </w:r>
      <w:r>
        <w:rPr>
          <w:rFonts w:ascii="宋体" w:hAnsi="宋体" w:hint="eastAsia"/>
          <w:sz w:val="24"/>
        </w:rPr>
        <w:t>、人民法院决定债务人预重整时对债务人享有债权的债权人，均有权向管理人申报债权。</w:t>
      </w:r>
    </w:p>
    <w:p w14:paraId="59868A18" w14:textId="65E2549E" w:rsidR="00ED4462" w:rsidRDefault="00ED4462" w:rsidP="00ED4462">
      <w:pPr>
        <w:adjustRightInd w:val="0"/>
        <w:snapToGrid w:val="0"/>
        <w:spacing w:line="380" w:lineRule="exact"/>
        <w:ind w:firstLineChars="200" w:firstLine="480"/>
        <w:rPr>
          <w:rFonts w:ascii="宋体" w:hAnsi="宋体"/>
          <w:sz w:val="24"/>
        </w:rPr>
      </w:pPr>
      <w:r>
        <w:rPr>
          <w:rFonts w:ascii="宋体" w:hAnsi="宋体"/>
          <w:sz w:val="24"/>
        </w:rPr>
        <w:t>2</w:t>
      </w:r>
      <w:r>
        <w:rPr>
          <w:rFonts w:ascii="宋体" w:hAnsi="宋体" w:hint="eastAsia"/>
          <w:sz w:val="24"/>
        </w:rPr>
        <w:t>、未到期的债权，可视债权已到期进行申报；附利息的债权，利息</w:t>
      </w:r>
      <w:proofErr w:type="gramStart"/>
      <w:r>
        <w:rPr>
          <w:rFonts w:ascii="宋体" w:hAnsi="宋体" w:hint="eastAsia"/>
          <w:sz w:val="24"/>
        </w:rPr>
        <w:t>暂计算</w:t>
      </w:r>
      <w:proofErr w:type="gramEnd"/>
      <w:r>
        <w:rPr>
          <w:rFonts w:ascii="宋体" w:hAnsi="宋体" w:hint="eastAsia"/>
          <w:sz w:val="24"/>
        </w:rPr>
        <w:t>至202</w:t>
      </w:r>
      <w:r>
        <w:rPr>
          <w:rFonts w:ascii="宋体" w:hAnsi="宋体"/>
          <w:sz w:val="24"/>
        </w:rPr>
        <w:t>2</w:t>
      </w:r>
      <w:r>
        <w:rPr>
          <w:rFonts w:ascii="宋体" w:hAnsi="宋体" w:hint="eastAsia"/>
          <w:sz w:val="24"/>
        </w:rPr>
        <w:t>年</w:t>
      </w:r>
      <w:r>
        <w:rPr>
          <w:rFonts w:ascii="宋体" w:hAnsi="宋体"/>
          <w:sz w:val="24"/>
        </w:rPr>
        <w:t>3</w:t>
      </w:r>
      <w:r>
        <w:rPr>
          <w:rFonts w:ascii="宋体" w:hAnsi="宋体" w:hint="eastAsia"/>
          <w:sz w:val="24"/>
        </w:rPr>
        <w:t>月1日。</w:t>
      </w:r>
    </w:p>
    <w:p w14:paraId="196C9190"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附条件、附期限的债权和诉讼、仲裁未决的债权，债权人可以申报。</w:t>
      </w:r>
    </w:p>
    <w:p w14:paraId="751908CB" w14:textId="55F20F9C"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债权人申报债权时，应当书面详细说明债权的性质、数额（具体构成及计算过程）、有无财产担保，并提交</w:t>
      </w:r>
      <w:r w:rsidR="00D9063A">
        <w:rPr>
          <w:rFonts w:ascii="宋体" w:hAnsi="宋体" w:hint="eastAsia"/>
          <w:sz w:val="24"/>
        </w:rPr>
        <w:t>相关</w:t>
      </w:r>
      <w:r>
        <w:rPr>
          <w:rFonts w:ascii="宋体" w:hAnsi="宋体" w:hint="eastAsia"/>
          <w:sz w:val="24"/>
        </w:rPr>
        <w:t>证据（提交复印件，原件需核对）。</w:t>
      </w:r>
    </w:p>
    <w:p w14:paraId="5C733886"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债权人申报的债权是连带债权的，应当说明。连带债权人可以由其中一人代表全体连带债权人申报债权，也可以共同申报债权。</w:t>
      </w:r>
    </w:p>
    <w:p w14:paraId="4B4C525B"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6、</w:t>
      </w:r>
      <w:r>
        <w:rPr>
          <w:rFonts w:ascii="宋体" w:hAnsi="宋体"/>
          <w:sz w:val="24"/>
        </w:rPr>
        <w:t xml:space="preserve"> </w:t>
      </w:r>
      <w:r>
        <w:rPr>
          <w:rFonts w:ascii="宋体" w:hAnsi="宋体" w:hint="eastAsia"/>
          <w:sz w:val="24"/>
        </w:rPr>
        <w:t>债务人的保证人或者其他连带债务人已经代替债务人清偿债务的，以其对债务人的求偿权申报债权。债务人的保证人或者其他连带债务人尚未代替债务人清偿债务的，以其对债务人的将来求偿权申报债权。但是，债权人已经向管理人申报全部债权的除外。</w:t>
      </w:r>
    </w:p>
    <w:p w14:paraId="4A00598E"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7、</w:t>
      </w:r>
      <w:r>
        <w:rPr>
          <w:rFonts w:ascii="宋体" w:hAnsi="宋体"/>
          <w:sz w:val="24"/>
        </w:rPr>
        <w:t xml:space="preserve"> </w:t>
      </w:r>
      <w:r>
        <w:rPr>
          <w:rFonts w:ascii="宋体" w:hAnsi="宋体" w:hint="eastAsia"/>
          <w:sz w:val="24"/>
        </w:rPr>
        <w:t>债务人是委托合同的委托人，被裁定适用破产程序，受托人不知该事实，继续处理委托事务的，受托人以由此产生的请求权申报债权。</w:t>
      </w:r>
    </w:p>
    <w:p w14:paraId="0A787707"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8、</w:t>
      </w:r>
      <w:r>
        <w:rPr>
          <w:rFonts w:ascii="宋体" w:hAnsi="宋体"/>
          <w:sz w:val="24"/>
        </w:rPr>
        <w:t xml:space="preserve"> </w:t>
      </w:r>
      <w:r>
        <w:rPr>
          <w:rFonts w:ascii="宋体" w:hAnsi="宋体" w:hint="eastAsia"/>
          <w:sz w:val="24"/>
        </w:rPr>
        <w:t>债务人是票据的出票人，被裁定适用破产程序，该票据的付款人继续付款或者承兑的，付款人以由此产生的请求权申报债权。</w:t>
      </w:r>
    </w:p>
    <w:p w14:paraId="4A7B043C"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9、债权人应将本人享有的全部债权</w:t>
      </w:r>
      <w:proofErr w:type="gramStart"/>
      <w:r>
        <w:rPr>
          <w:rFonts w:ascii="宋体" w:hAnsi="宋体" w:hint="eastAsia"/>
          <w:sz w:val="24"/>
        </w:rPr>
        <w:t>通过微信小</w:t>
      </w:r>
      <w:proofErr w:type="gramEnd"/>
      <w:r>
        <w:rPr>
          <w:rFonts w:ascii="宋体" w:hAnsi="宋体" w:hint="eastAsia"/>
          <w:sz w:val="24"/>
        </w:rPr>
        <w:t>程序“破产清算系统”一次性申报完毕。</w:t>
      </w:r>
    </w:p>
    <w:p w14:paraId="6C5E5094"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hint="eastAsia"/>
          <w:sz w:val="24"/>
        </w:rPr>
        <w:t>10、债权人虚假申报债权或提供虚假申报材料，损害其他债权人利益的，管理人将依法移送公安机关或人民法院追究其法律责任。</w:t>
      </w:r>
    </w:p>
    <w:p w14:paraId="79463559" w14:textId="77777777" w:rsidR="00ED4462" w:rsidRDefault="00ED4462" w:rsidP="00ED4462">
      <w:pPr>
        <w:adjustRightInd w:val="0"/>
        <w:snapToGrid w:val="0"/>
        <w:spacing w:line="380" w:lineRule="exact"/>
        <w:ind w:firstLineChars="200" w:firstLine="480"/>
        <w:rPr>
          <w:rFonts w:ascii="宋体" w:hAnsi="宋体"/>
          <w:sz w:val="24"/>
        </w:rPr>
      </w:pPr>
      <w:r>
        <w:rPr>
          <w:rFonts w:ascii="宋体" w:hAnsi="宋体"/>
          <w:sz w:val="24"/>
        </w:rPr>
        <w:t>1</w:t>
      </w:r>
      <w:r>
        <w:rPr>
          <w:rFonts w:ascii="宋体" w:hAnsi="宋体" w:hint="eastAsia"/>
          <w:sz w:val="24"/>
        </w:rPr>
        <w:t>1、本指引内容与现行法律、法规、司法解释及人民法院司法文件不一致的，以后者为准。</w:t>
      </w:r>
    </w:p>
    <w:p w14:paraId="49EB64C0" w14:textId="77777777" w:rsidR="00186F58" w:rsidRPr="00ED4462" w:rsidRDefault="00C31752"/>
    <w:sectPr w:rsidR="00186F58" w:rsidRPr="00ED4462">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3C86" w14:textId="77777777" w:rsidR="00C31752" w:rsidRDefault="00C31752" w:rsidP="00ED4462">
      <w:r>
        <w:separator/>
      </w:r>
    </w:p>
  </w:endnote>
  <w:endnote w:type="continuationSeparator" w:id="0">
    <w:p w14:paraId="020650E7" w14:textId="77777777" w:rsidR="00C31752" w:rsidRDefault="00C31752" w:rsidP="00ED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FDE3" w14:textId="77777777" w:rsidR="00C31752" w:rsidRDefault="00C31752" w:rsidP="00ED4462">
      <w:r>
        <w:separator/>
      </w:r>
    </w:p>
  </w:footnote>
  <w:footnote w:type="continuationSeparator" w:id="0">
    <w:p w14:paraId="5563A2AA" w14:textId="77777777" w:rsidR="00C31752" w:rsidRDefault="00C31752" w:rsidP="00ED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BD"/>
    <w:rsid w:val="00096CA6"/>
    <w:rsid w:val="0036672E"/>
    <w:rsid w:val="006C7B70"/>
    <w:rsid w:val="007936D5"/>
    <w:rsid w:val="00823CD2"/>
    <w:rsid w:val="008418BD"/>
    <w:rsid w:val="00B62466"/>
    <w:rsid w:val="00BB242D"/>
    <w:rsid w:val="00C31752"/>
    <w:rsid w:val="00D9063A"/>
    <w:rsid w:val="00ED4462"/>
    <w:rsid w:val="00F54781"/>
    <w:rsid w:val="00FE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C5E9"/>
  <w15:chartTrackingRefBased/>
  <w15:docId w15:val="{3FB879E1-95FA-47EC-A5DC-917D8930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4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4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D4462"/>
    <w:rPr>
      <w:sz w:val="18"/>
      <w:szCs w:val="18"/>
    </w:rPr>
  </w:style>
  <w:style w:type="paragraph" w:styleId="a5">
    <w:name w:val="footer"/>
    <w:basedOn w:val="a"/>
    <w:link w:val="a6"/>
    <w:uiPriority w:val="99"/>
    <w:unhideWhenUsed/>
    <w:rsid w:val="00ED44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D4462"/>
    <w:rPr>
      <w:sz w:val="18"/>
      <w:szCs w:val="18"/>
    </w:rPr>
  </w:style>
  <w:style w:type="paragraph" w:customStyle="1" w:styleId="Default">
    <w:name w:val="Default"/>
    <w:rsid w:val="00ED4462"/>
    <w:pPr>
      <w:widowControl w:val="0"/>
      <w:autoSpaceDE w:val="0"/>
      <w:autoSpaceDN w:val="0"/>
      <w:adjustRightInd w:val="0"/>
    </w:pPr>
    <w:rPr>
      <w:rFonts w:ascii="黑体" w:eastAsia="宋体" w:hAnsi="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天甲</dc:creator>
  <cp:keywords/>
  <dc:description/>
  <cp:lastModifiedBy>戚 璐莎</cp:lastModifiedBy>
  <cp:revision>5</cp:revision>
  <dcterms:created xsi:type="dcterms:W3CDTF">2022-04-20T08:25:00Z</dcterms:created>
  <dcterms:modified xsi:type="dcterms:W3CDTF">2022-04-21T02:15:00Z</dcterms:modified>
</cp:coreProperties>
</file>